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827E5" w14:textId="31A7B6B1" w:rsidR="00A35044" w:rsidRDefault="00623D56" w:rsidP="00E069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37B4" wp14:editId="04EB80BC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857625"/>
                <wp:effectExtent l="0" t="0" r="27305" b="28575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85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28BA55" w14:textId="77777777" w:rsidR="00233B1C" w:rsidRPr="001A16E3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1773E5D" w14:textId="36F81238" w:rsidR="00233B1C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DFB526" w14:textId="5235659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875C8C" w14:textId="14F64905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75BF658" w14:textId="2E066A4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1DFBED5" w14:textId="77777777" w:rsidR="00661F02" w:rsidRPr="001A16E3" w:rsidRDefault="00661F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7930BA" w14:textId="664B447D" w:rsidR="00C2751F" w:rsidRDefault="005B742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B24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Chambre de Commerce et d’Industrie Pau Béarn</w:t>
                            </w:r>
                          </w:p>
                          <w:p w14:paraId="03CB2FB8" w14:textId="2D895C80" w:rsidR="003B246A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 rue Louis Barthou</w:t>
                            </w:r>
                          </w:p>
                          <w:p w14:paraId="09AE728B" w14:textId="1A2DC51B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BP 128</w:t>
                            </w:r>
                          </w:p>
                          <w:p w14:paraId="68EF4B7D" w14:textId="2CE46EE0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64001 Pau cedex</w:t>
                            </w:r>
                          </w:p>
                          <w:p w14:paraId="70D95578" w14:textId="072FBD28" w:rsidR="00233B1C" w:rsidRDefault="00233B1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527E5C31" w14:textId="4EAB78FF" w:rsidR="00E75BC4" w:rsidRDefault="00E75B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6770F407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36A1CCA7" w14:textId="734EAA13" w:rsidR="00623D56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662EED36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81CC12" w14:textId="497EC4A0" w:rsidR="0059191A" w:rsidRPr="00945A7B" w:rsidRDefault="0059191A" w:rsidP="00945A7B"/>
                          <w:p w14:paraId="1F4A1228" w14:textId="77A74ED0" w:rsidR="0059191A" w:rsidRDefault="0059191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868419" w14:textId="4241D53E" w:rsidR="00623D56" w:rsidRPr="00811FCF" w:rsidRDefault="00A13631" w:rsidP="00A13631">
                            <w:pPr>
                              <w:shd w:val="clear" w:color="auto" w:fill="3058A1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B37B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70.15pt;margin-top:0;width:221.35pt;height:30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8MNgIAAH0EAAAOAAAAZHJzL2Uyb0RvYy54bWysVE1v2zAMvQ/YfxB0XxynSZoZcYosRYYB&#10;RVsgHXpWZCk2IIuapMTOfv0o2flo19Owi0KK9BP5+Jj5XVsrchDWVaBzmg6GlAjNoaj0Lqc/X9Zf&#10;ZpQ4z3TBFGiR06Nw9G7x+dO8MZkYQQmqEJYgiHZZY3Jaem+yJHG8FDVzAzBCY1CCrZlH1+6SwrIG&#10;0WuVjIbDadKALYwFLpzD2/suSBcRX0rB/ZOUTniicoq1+XjaeG7DmSzmLNtZZsqK92Wwf6iiZpXG&#10;R89Q98wzsrfVX1B1xS04kH7AoU5AyoqL2AN2kw7fdbMpmRGxFyTHmTNN7v/B8sfDxjxb4ttv0OIA&#10;AyGNcZnDy9BPK20dfrFSgnGk8HimTbSecLwczdI0HU8o4Ri7mU1up6NJwEkunxvr/HcBNQlGTi3O&#10;JdLFDg/Od6mnlPCaA1UV60qp6AQtiJWy5MBwisrHIhH8TZbSpMnp9GYyjMBvYlFNF4Tt7gMExFMa&#10;a740HyzfbtuekS0URyTKQqchZ/i6wmYemPPPzKJokBtcBP+Eh1SAxUBvUVKC/f3RfcjHWWKUkgZF&#10;mFP3a8+soET90Djlr+l4HFQbnfHkdoSOvY5sryN6X68AGUpx5QyPZsj36mRKC/Ur7ssyvIohpjm+&#10;nVN/Mle+Ww3cNy6Wy5iEOjXMP+iN4QE6TCSM6qV9Zdb08/QohUc4yZVl78ba5YYvNSz3HmQVZx4I&#10;7ljteUeNR9X0+xiW6NqPWZd/jcUfAAAA//8DAFBLAwQUAAYACAAAACEAZFSmKdwAAAAFAQAADwAA&#10;AGRycy9kb3ducmV2LnhtbEyPQUvDQBCF70L/wzIFb3ZjjW2J2ZSgiKBCafXibZodk2B2NmSnbfrv&#10;Xb3oZeDxHu99k69H16kjDaH1bOB6loAirrxtuTbw/vZ4tQIVBNli55kMnCnAuphc5JhZf+ItHXdS&#10;q1jCIUMDjUifaR2qhhyGme+Jo/fpB4cS5VBrO+AplrtOz5NkoR22HBca7Om+oeprd3AGntMPfLiR&#10;FzoLj5uyfFr1aXg15nI6lneghEb5C8MPfkSHIjLt/YFtUJ2B+Ij83uil6XwJam9gkSxvQRe5/k9f&#10;fAMAAP//AwBQSwECLQAUAAYACAAAACEAtoM4kv4AAADhAQAAEwAAAAAAAAAAAAAAAAAAAAAAW0Nv&#10;bnRlbnRfVHlwZXNdLnhtbFBLAQItABQABgAIAAAAIQA4/SH/1gAAAJQBAAALAAAAAAAAAAAAAAAA&#10;AC8BAABfcmVscy8ucmVsc1BLAQItABQABgAIAAAAIQA5pe8MNgIAAH0EAAAOAAAAAAAAAAAAAAAA&#10;AC4CAABkcnMvZTJvRG9jLnhtbFBLAQItABQABgAIAAAAIQBkVKYp3AAAAAUBAAAPAAAAAAAAAAAA&#10;AAAAAJAEAABkcnMvZG93bnJldi54bWxQSwUGAAAAAAQABADzAAAAmQUAAAAA&#10;" fillcolor="white [3201]" strokecolor="white [3212]" strokeweight=".5pt">
                <v:textbox>
                  <w:txbxContent>
                    <w:p w14:paraId="1C28BA55" w14:textId="77777777" w:rsidR="00233B1C" w:rsidRPr="001A16E3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1773E5D" w14:textId="36F81238" w:rsidR="00233B1C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DFB526" w14:textId="5235659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875C8C" w14:textId="14F64905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75BF658" w14:textId="2E066A4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1DFBED5" w14:textId="77777777" w:rsidR="00661F02" w:rsidRPr="001A16E3" w:rsidRDefault="00661F0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77930BA" w14:textId="664B447D" w:rsidR="00C2751F" w:rsidRDefault="005B7427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B246A">
                        <w:rPr>
                          <w:b/>
                          <w:bCs/>
                          <w:sz w:val="36"/>
                          <w:szCs w:val="36"/>
                        </w:rPr>
                        <w:t>Chambre de Commerce et d’Industrie Pau Béarn</w:t>
                      </w:r>
                    </w:p>
                    <w:p w14:paraId="03CB2FB8" w14:textId="2D895C80" w:rsidR="003B246A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 rue Louis Barthou</w:t>
                      </w:r>
                    </w:p>
                    <w:p w14:paraId="09AE728B" w14:textId="1A2DC51B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BP 128</w:t>
                      </w:r>
                    </w:p>
                    <w:p w14:paraId="68EF4B7D" w14:textId="2CE46EE0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64001 Pau cedex</w:t>
                      </w:r>
                    </w:p>
                    <w:p w14:paraId="70D95578" w14:textId="072FBD28" w:rsidR="00233B1C" w:rsidRDefault="00233B1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527E5C31" w14:textId="4EAB78FF" w:rsidR="00E75BC4" w:rsidRDefault="00E75BC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6770F407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36A1CCA7" w14:textId="734EAA13" w:rsidR="00623D56" w:rsidRDefault="00F72C2C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662EED36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781CC12" w14:textId="497EC4A0" w:rsidR="0059191A" w:rsidRPr="00945A7B" w:rsidRDefault="0059191A" w:rsidP="00945A7B"/>
                    <w:p w14:paraId="1F4A1228" w14:textId="77A74ED0" w:rsidR="0059191A" w:rsidRDefault="0059191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0868419" w14:textId="4241D53E" w:rsidR="00623D56" w:rsidRPr="00811FCF" w:rsidRDefault="00A13631" w:rsidP="00A13631">
                      <w:pPr>
                        <w:shd w:val="clear" w:color="auto" w:fill="3058A1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0AF7A80" w14:textId="075EB9A5" w:rsidR="00E069EB" w:rsidRDefault="00E069EB" w:rsidP="00E069EB"/>
    <w:p w14:paraId="5804A244" w14:textId="44D1F4CD" w:rsidR="00E069EB" w:rsidRDefault="00E069EB" w:rsidP="00E069EB"/>
    <w:p w14:paraId="45A93E1B" w14:textId="08C05F4A" w:rsidR="00E069EB" w:rsidRDefault="00E069EB" w:rsidP="00E069EB"/>
    <w:p w14:paraId="57144650" w14:textId="3FDA6040" w:rsidR="00E069EB" w:rsidRDefault="00E069EB" w:rsidP="00E069EB"/>
    <w:p w14:paraId="37AB5463" w14:textId="42D12B56" w:rsidR="00E069EB" w:rsidRDefault="00E069EB" w:rsidP="00E069EB"/>
    <w:p w14:paraId="6D78661F" w14:textId="3EF291F9" w:rsidR="00E069EB" w:rsidRDefault="00E069EB" w:rsidP="00E069EB"/>
    <w:p w14:paraId="7AD6C7B5" w14:textId="1CB86B2F" w:rsidR="00E069EB" w:rsidRDefault="00E069EB" w:rsidP="00E069EB"/>
    <w:p w14:paraId="69F4AA6F" w14:textId="6A3B65A6" w:rsidR="00E069EB" w:rsidRDefault="00E069EB" w:rsidP="00E069EB"/>
    <w:p w14:paraId="03B77EC7" w14:textId="31875A3B" w:rsidR="00E069EB" w:rsidRDefault="00E069EB" w:rsidP="00E069EB"/>
    <w:p w14:paraId="309D5D48" w14:textId="20105073" w:rsidR="00E069EB" w:rsidRDefault="00E069EB" w:rsidP="00E069EB"/>
    <w:p w14:paraId="2CEB1595" w14:textId="77777777" w:rsidR="00E069EB" w:rsidRDefault="00E069EB" w:rsidP="00E069EB"/>
    <w:p w14:paraId="5FBEB704" w14:textId="77777777" w:rsidR="00D52B1F" w:rsidRDefault="00D52B1F" w:rsidP="00E069EB"/>
    <w:p w14:paraId="7443DE1E" w14:textId="77777777" w:rsidR="00D52B1F" w:rsidRDefault="00D52B1F" w:rsidP="00E069EB"/>
    <w:p w14:paraId="0E1677F9" w14:textId="77777777" w:rsidR="00D52B1F" w:rsidRDefault="00D52B1F" w:rsidP="00E069EB"/>
    <w:p w14:paraId="58E17643" w14:textId="77777777" w:rsidR="00D52B1F" w:rsidRDefault="00D52B1F" w:rsidP="00E069EB"/>
    <w:p w14:paraId="1E775ADC" w14:textId="77777777" w:rsidR="00D52B1F" w:rsidRDefault="00D52B1F" w:rsidP="00E069EB"/>
    <w:p w14:paraId="75339612" w14:textId="77777777" w:rsidR="00D52B1F" w:rsidRDefault="00D52B1F" w:rsidP="00E069EB"/>
    <w:p w14:paraId="49EC5652" w14:textId="77777777" w:rsidR="00D52B1F" w:rsidRDefault="00D52B1F" w:rsidP="00E069EB"/>
    <w:p w14:paraId="5C2D6A30" w14:textId="77777777" w:rsidR="00D52B1F" w:rsidRDefault="00D52B1F" w:rsidP="00E069EB"/>
    <w:p w14:paraId="6A72715D" w14:textId="77777777" w:rsidR="00D52B1F" w:rsidRDefault="00D52B1F" w:rsidP="00E069EB"/>
    <w:p w14:paraId="52B1F39C" w14:textId="77777777" w:rsidR="00D52B1F" w:rsidRDefault="00D52B1F" w:rsidP="00E069EB"/>
    <w:p w14:paraId="72E4B1AE" w14:textId="77777777" w:rsidR="00D52B1F" w:rsidRDefault="00D52B1F" w:rsidP="00E069EB"/>
    <w:p w14:paraId="6156A914" w14:textId="77777777" w:rsidR="00D52B1F" w:rsidRDefault="00D52B1F" w:rsidP="00E069EB"/>
    <w:p w14:paraId="48E10318" w14:textId="77777777" w:rsidR="00D52B1F" w:rsidRDefault="00D52B1F" w:rsidP="00E069EB"/>
    <w:p w14:paraId="73FE7ABC" w14:textId="77777777" w:rsidR="00D52B1F" w:rsidRDefault="00D52B1F" w:rsidP="00E069EB"/>
    <w:p w14:paraId="0ACDF0AB" w14:textId="0D06D8FF" w:rsidR="00D52B1F" w:rsidRDefault="00D52B1F" w:rsidP="00E069EB"/>
    <w:p w14:paraId="06CDA6CD" w14:textId="66C94A22" w:rsidR="00D52B1F" w:rsidRDefault="00D52B1F" w:rsidP="00E069EB">
      <w:pPr>
        <w:pBdr>
          <w:top w:val="single" w:sz="12" w:space="0" w:color="auto"/>
          <w:bottom w:val="single" w:sz="12" w:space="1" w:color="auto"/>
        </w:pBdr>
      </w:pPr>
    </w:p>
    <w:p w14:paraId="28E6C6BD" w14:textId="77777777" w:rsidR="005E68B2" w:rsidRPr="005E68B2" w:rsidRDefault="005E68B2" w:rsidP="005E68B2">
      <w:pPr>
        <w:pBdr>
          <w:top w:val="single" w:sz="12" w:space="0" w:color="auto"/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5E68B2">
        <w:rPr>
          <w:b/>
          <w:bCs/>
          <w:sz w:val="36"/>
          <w:szCs w:val="36"/>
        </w:rPr>
        <w:t xml:space="preserve">Achat de mobilier de bureau et de réunion </w:t>
      </w:r>
    </w:p>
    <w:p w14:paraId="45DA3584" w14:textId="38630C1D" w:rsidR="00D54F58" w:rsidRDefault="005E68B2" w:rsidP="005E68B2">
      <w:pPr>
        <w:pBdr>
          <w:top w:val="single" w:sz="12" w:space="0" w:color="auto"/>
          <w:bottom w:val="single" w:sz="12" w:space="1" w:color="auto"/>
        </w:pBdr>
        <w:jc w:val="center"/>
        <w:rPr>
          <w:noProof/>
        </w:rPr>
      </w:pPr>
      <w:proofErr w:type="gramStart"/>
      <w:r w:rsidRPr="005E68B2">
        <w:rPr>
          <w:b/>
          <w:bCs/>
          <w:sz w:val="36"/>
          <w:szCs w:val="36"/>
        </w:rPr>
        <w:t>pour</w:t>
      </w:r>
      <w:proofErr w:type="gramEnd"/>
      <w:r w:rsidRPr="005E68B2">
        <w:rPr>
          <w:b/>
          <w:bCs/>
          <w:sz w:val="36"/>
          <w:szCs w:val="36"/>
        </w:rPr>
        <w:t xml:space="preserve"> la CCI Pau Béarn</w:t>
      </w:r>
    </w:p>
    <w:p w14:paraId="430D2B46" w14:textId="6C8E7EEA" w:rsidR="00606A00" w:rsidRDefault="00BD6735" w:rsidP="00E069EB">
      <w:pPr>
        <w:pBdr>
          <w:top w:val="single" w:sz="12" w:space="0" w:color="auto"/>
          <w:bottom w:val="single" w:sz="12" w:space="1" w:color="auto"/>
        </w:pBd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492F261F" wp14:editId="6C4BA0DD">
            <wp:simplePos x="0" y="0"/>
            <wp:positionH relativeFrom="column">
              <wp:posOffset>-1351915</wp:posOffset>
            </wp:positionH>
            <wp:positionV relativeFrom="margin">
              <wp:posOffset>0</wp:posOffset>
            </wp:positionV>
            <wp:extent cx="3919855" cy="423037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AC30C" w14:textId="74C8C267" w:rsidR="00606A00" w:rsidRDefault="00606A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59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424"/>
        <w:gridCol w:w="1560"/>
        <w:gridCol w:w="401"/>
        <w:gridCol w:w="401"/>
        <w:gridCol w:w="402"/>
        <w:gridCol w:w="401"/>
        <w:gridCol w:w="401"/>
      </w:tblGrid>
      <w:tr w:rsidR="001C41A4" w:rsidRPr="00021C6F" w14:paraId="0C9894C8" w14:textId="77777777" w:rsidTr="009C108E">
        <w:trPr>
          <w:trHeight w:val="80"/>
          <w:jc w:val="center"/>
        </w:trPr>
        <w:tc>
          <w:tcPr>
            <w:tcW w:w="7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3E61E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Lot :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005D5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6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7EC9CAA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C</w:t>
            </w:r>
            <w:r w:rsidRPr="0022606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ontrat n° :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B42E8E5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0ED6970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5EF2DC21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25F3D44D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4608C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54907FCB" w14:textId="77777777" w:rsidR="001C41A4" w:rsidRDefault="001C41A4" w:rsidP="001C41A4">
      <w:pPr>
        <w:jc w:val="center"/>
        <w:rPr>
          <w:sz w:val="2"/>
          <w:szCs w:val="2"/>
        </w:rPr>
      </w:pPr>
    </w:p>
    <w:tbl>
      <w:tblPr>
        <w:tblW w:w="259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424"/>
        <w:gridCol w:w="1560"/>
        <w:gridCol w:w="401"/>
        <w:gridCol w:w="401"/>
        <w:gridCol w:w="402"/>
        <w:gridCol w:w="401"/>
        <w:gridCol w:w="401"/>
      </w:tblGrid>
      <w:tr w:rsidR="001C41A4" w:rsidRPr="00021C6F" w14:paraId="01ED84D8" w14:textId="77777777" w:rsidTr="009C108E">
        <w:trPr>
          <w:trHeight w:val="80"/>
          <w:jc w:val="center"/>
        </w:trPr>
        <w:tc>
          <w:tcPr>
            <w:tcW w:w="7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35EFF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Lot :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024B8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6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ED76A5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C</w:t>
            </w:r>
            <w:r w:rsidRPr="0022606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ontrat n° :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75ED5C93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2E055BEE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EA47BED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2732EAFF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FF71" w14:textId="77777777" w:rsidR="001C41A4" w:rsidRPr="00021C6F" w:rsidRDefault="001C41A4" w:rsidP="009C108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5220649" w:rsidR="006404CA" w:rsidRDefault="006404CA" w:rsidP="00152986">
      <w:pPr>
        <w:jc w:val="center"/>
        <w:rPr>
          <w:sz w:val="2"/>
          <w:szCs w:val="2"/>
        </w:rPr>
      </w:pPr>
    </w:p>
    <w:p w14:paraId="6FA393A5" w14:textId="76E040BD" w:rsidR="009A7162" w:rsidRDefault="009A7162" w:rsidP="00152986">
      <w:pPr>
        <w:jc w:val="center"/>
        <w:rPr>
          <w:sz w:val="28"/>
          <w:szCs w:val="28"/>
        </w:rPr>
      </w:pPr>
    </w:p>
    <w:p w14:paraId="14209CC2" w14:textId="422A68F6" w:rsidR="003C7E4B" w:rsidRDefault="003C7E4B" w:rsidP="00152986">
      <w:pPr>
        <w:jc w:val="center"/>
        <w:rPr>
          <w:sz w:val="28"/>
          <w:szCs w:val="28"/>
        </w:rPr>
      </w:pPr>
    </w:p>
    <w:p w14:paraId="70097ED4" w14:textId="77ADA6BB" w:rsidR="003C7E4B" w:rsidRDefault="003C7E4B" w:rsidP="00152986">
      <w:pPr>
        <w:jc w:val="center"/>
        <w:rPr>
          <w:sz w:val="28"/>
          <w:szCs w:val="28"/>
        </w:rPr>
      </w:pPr>
    </w:p>
    <w:p w14:paraId="5BE250C3" w14:textId="77777777" w:rsidR="00D54F58" w:rsidRDefault="00D54F58" w:rsidP="00152986">
      <w:pPr>
        <w:jc w:val="center"/>
        <w:rPr>
          <w:sz w:val="28"/>
          <w:szCs w:val="28"/>
        </w:rPr>
      </w:pPr>
    </w:p>
    <w:p w14:paraId="1A5E7D1D" w14:textId="77777777" w:rsidR="003C7E4B" w:rsidRDefault="003C7E4B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proofErr w:type="gramStart"/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</w:t>
      </w:r>
      <w:proofErr w:type="gramEnd"/>
      <w:r w:rsidRPr="002D58BF">
        <w:rPr>
          <w:b/>
          <w:bCs/>
          <w:sz w:val="28"/>
          <w:szCs w:val="28"/>
        </w:rPr>
        <w:t>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>
          <w:pPr>
            <w:pStyle w:val="En-ttedetabledesmatires"/>
          </w:pPr>
          <w:r>
            <w:t>Table des matières</w:t>
          </w:r>
        </w:p>
        <w:p w14:paraId="16191940" w14:textId="1589F87E" w:rsidR="00593F9F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1865174" w:history="1">
            <w:r w:rsidR="00593F9F" w:rsidRPr="00181090">
              <w:rPr>
                <w:rStyle w:val="Lienhypertexte"/>
                <w:noProof/>
              </w:rPr>
              <w:t>Chapitre 1 – Identification des parties</w:t>
            </w:r>
            <w:r w:rsidR="00593F9F">
              <w:rPr>
                <w:noProof/>
                <w:webHidden/>
              </w:rPr>
              <w:tab/>
            </w:r>
            <w:r w:rsidR="00593F9F">
              <w:rPr>
                <w:noProof/>
                <w:webHidden/>
              </w:rPr>
              <w:fldChar w:fldCharType="begin"/>
            </w:r>
            <w:r w:rsidR="00593F9F">
              <w:rPr>
                <w:noProof/>
                <w:webHidden/>
              </w:rPr>
              <w:instrText xml:space="preserve"> PAGEREF _Toc181865174 \h </w:instrText>
            </w:r>
            <w:r w:rsidR="00593F9F">
              <w:rPr>
                <w:noProof/>
                <w:webHidden/>
              </w:rPr>
            </w:r>
            <w:r w:rsidR="00593F9F">
              <w:rPr>
                <w:noProof/>
                <w:webHidden/>
              </w:rPr>
              <w:fldChar w:fldCharType="separate"/>
            </w:r>
            <w:r w:rsidR="00593F9F">
              <w:rPr>
                <w:noProof/>
                <w:webHidden/>
              </w:rPr>
              <w:t>3</w:t>
            </w:r>
            <w:r w:rsidR="00593F9F">
              <w:rPr>
                <w:noProof/>
                <w:webHidden/>
              </w:rPr>
              <w:fldChar w:fldCharType="end"/>
            </w:r>
          </w:hyperlink>
        </w:p>
        <w:p w14:paraId="5BEA7395" w14:textId="5D900B3C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75" w:history="1">
            <w:r w:rsidRPr="00181090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0F1F8" w14:textId="1D1D93D4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76" w:history="1">
            <w:r w:rsidRPr="00181090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FA4F0" w14:textId="6694207D" w:rsidR="00593F9F" w:rsidRDefault="00593F9F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77" w:history="1">
            <w:r w:rsidRPr="00181090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6FF7" w14:textId="42928972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78" w:history="1">
            <w:r w:rsidRPr="00181090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F3C56" w14:textId="4AE97051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79" w:history="1">
            <w:r w:rsidRPr="00181090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A6E68" w14:textId="305A8B54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0" w:history="1">
            <w:r w:rsidRPr="00181090">
              <w:rPr>
                <w:rStyle w:val="Lienhypertexte"/>
                <w:noProof/>
              </w:rPr>
              <w:t>Article 2.3 – Durée du contrat et délais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A6A57" w14:textId="72C4FD03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1" w:history="1">
            <w:r w:rsidRPr="00181090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E6E4A" w14:textId="0CA01B19" w:rsidR="00593F9F" w:rsidRDefault="00593F9F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2" w:history="1">
            <w:r w:rsidRPr="00181090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9C8E8" w14:textId="2E5886A0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3" w:history="1">
            <w:r w:rsidRPr="00181090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D0C5A" w14:textId="0C8C0FF9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4" w:history="1">
            <w:r w:rsidRPr="00181090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FA8A5" w14:textId="4AAC2E7D" w:rsidR="00593F9F" w:rsidRDefault="00593F9F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5" w:history="1">
            <w:r w:rsidRPr="00181090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5AB84" w14:textId="06E1B4CB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6" w:history="1">
            <w:r w:rsidRPr="00181090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1BE2B" w14:textId="7F6539EF" w:rsidR="00593F9F" w:rsidRDefault="00593F9F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7" w:history="1">
            <w:r w:rsidRPr="00181090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961F1" w14:textId="74E26FE2" w:rsidR="00593F9F" w:rsidRDefault="00593F9F">
          <w:pPr>
            <w:pStyle w:val="TM3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1865188" w:history="1">
            <w:r w:rsidRPr="00181090">
              <w:rPr>
                <w:rStyle w:val="Lienhypertexte"/>
                <w:noProof/>
              </w:rPr>
              <w:t>ANNEXE N°1 : CONSTITUTION DU GROUPEMENT ET 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_Toc181865188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679F5116" w:rsidR="008F2C5B" w:rsidRDefault="008F2C5B">
          <w:r>
            <w:rPr>
              <w:b/>
              <w:bCs/>
            </w:rPr>
            <w:fldChar w:fldCharType="end"/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397307">
      <w:pPr>
        <w:pStyle w:val="Titre1"/>
      </w:pPr>
      <w:bookmarkStart w:id="0" w:name="_Toc96357881"/>
      <w:bookmarkStart w:id="1" w:name="_Toc181865174"/>
      <w:r w:rsidRPr="00397307">
        <w:lastRenderedPageBreak/>
        <w:t xml:space="preserve">Chapitre 1 </w:t>
      </w:r>
      <w:r w:rsidR="00BB1E9A" w:rsidRPr="00397307">
        <w:t xml:space="preserve">– </w:t>
      </w:r>
      <w:bookmarkEnd w:id="0"/>
      <w:r w:rsidR="00C21BDB">
        <w:t>Identification des parties</w:t>
      </w:r>
      <w:bookmarkEnd w:id="1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2" w:name="_Toc96357882"/>
      <w:bookmarkStart w:id="3" w:name="_Toc181865175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2"/>
      <w:r w:rsidR="001F2C32">
        <w:t>Identification de l’acheteur</w:t>
      </w:r>
      <w:bookmarkEnd w:id="3"/>
    </w:p>
    <w:p w14:paraId="5C198A55" w14:textId="5E363842" w:rsidR="008230CF" w:rsidRDefault="008230CF" w:rsidP="008230CF"/>
    <w:p w14:paraId="61191CA2" w14:textId="6A811FF0" w:rsidR="00C622E8" w:rsidRPr="006D4CF7" w:rsidRDefault="00C025B1" w:rsidP="008230CF">
      <w:pPr>
        <w:rPr>
          <w:b/>
          <w:bCs/>
        </w:rPr>
      </w:pPr>
      <w:r w:rsidRPr="006D4CF7">
        <w:rPr>
          <w:b/>
          <w:bCs/>
        </w:rPr>
        <w:t>Chambre de Commerce et d’Industrie Pau Béarn</w:t>
      </w:r>
    </w:p>
    <w:p w14:paraId="76B329AE" w14:textId="0C9633C7" w:rsidR="006D4CF7" w:rsidRDefault="006D4CF7" w:rsidP="008230CF">
      <w:r>
        <w:t>21 rue Louis Barthou</w:t>
      </w:r>
    </w:p>
    <w:p w14:paraId="794D2378" w14:textId="2677C54C" w:rsidR="006D4CF7" w:rsidRDefault="006D4CF7" w:rsidP="008230CF">
      <w:r>
        <w:t>64000 Pau</w:t>
      </w:r>
    </w:p>
    <w:p w14:paraId="5BD8C66E" w14:textId="3B3E5A50" w:rsidR="006D4CF7" w:rsidRDefault="006D4CF7" w:rsidP="008230CF">
      <w:r>
        <w:t xml:space="preserve">SIRET : </w:t>
      </w:r>
      <w:r w:rsidRPr="006D4CF7">
        <w:t>18640002400011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4" w:name="_Toc181865176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4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A1B2B29" w14:textId="78563BB3" w:rsidR="002A5711" w:rsidRDefault="0033311D" w:rsidP="008F4A89">
      <w:pPr>
        <w:spacing w:line="360" w:lineRule="auto"/>
      </w:pPr>
      <w:proofErr w:type="gramStart"/>
      <w:r>
        <w:t>à</w:t>
      </w:r>
      <w:proofErr w:type="gramEnd"/>
      <w:r w:rsidR="002355EC">
        <w:t xml:space="preserve"> exécuter les prestations dans les conditions définies ci-après</w:t>
      </w:r>
      <w:r w:rsidR="00AD5066">
        <w:t>,</w:t>
      </w:r>
      <w:r w:rsidR="005E68B2">
        <w:t xml:space="preserve"> pour le ou les lots suivants :</w:t>
      </w:r>
    </w:p>
    <w:p w14:paraId="2B7B887B" w14:textId="25EAD813" w:rsidR="005E68B2" w:rsidRDefault="005E68B2" w:rsidP="005E68B2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Lot 1 : Mobilier de bureau et de réunion</w:t>
      </w:r>
    </w:p>
    <w:p w14:paraId="0B3CAD88" w14:textId="1A068831" w:rsidR="005E68B2" w:rsidRDefault="005E68B2" w:rsidP="005E68B2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Lot 2 : </w:t>
      </w:r>
      <w:r w:rsidRPr="005E68B2">
        <w:t>Mobilier de réunion présidence</w:t>
      </w:r>
    </w:p>
    <w:p w14:paraId="71E1CF46" w14:textId="77777777" w:rsidR="002A5711" w:rsidRDefault="002A5711" w:rsidP="00F40AD8">
      <w:pPr>
        <w:spacing w:line="360" w:lineRule="auto"/>
      </w:pPr>
    </w:p>
    <w:p w14:paraId="2C5FD2C1" w14:textId="655AA3F1" w:rsidR="0033311D" w:rsidRDefault="009D55C4" w:rsidP="009D55C4">
      <w:r w:rsidRPr="009D55C4"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CE5973">
      <w:pPr>
        <w:pStyle w:val="Titre1"/>
      </w:pPr>
      <w:bookmarkStart w:id="5" w:name="_Toc181865177"/>
      <w:r>
        <w:t>Chapitre 2 – Caractéristiques principales du contrat</w:t>
      </w:r>
      <w:bookmarkEnd w:id="5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6" w:name="_Toc181865178"/>
      <w:r>
        <w:t>Article 2.1 – Objet</w:t>
      </w:r>
      <w:bookmarkEnd w:id="6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28AD9473" w14:textId="369D789B" w:rsidR="007C2274" w:rsidRDefault="005867D0" w:rsidP="00194518">
      <w:pPr>
        <w:rPr>
          <w:b/>
          <w:bCs/>
        </w:rPr>
      </w:pPr>
      <w:r w:rsidRPr="005867D0">
        <w:rPr>
          <w:b/>
          <w:bCs/>
        </w:rPr>
        <w:t>Achat de mobilier de bureau et de réunion pour la CCI Pau Béarn</w:t>
      </w:r>
    </w:p>
    <w:p w14:paraId="7B6FB5D9" w14:textId="77777777" w:rsidR="005867D0" w:rsidRPr="005867D0" w:rsidRDefault="005867D0" w:rsidP="00194518"/>
    <w:p w14:paraId="0F331007" w14:textId="7581A463" w:rsidR="00C54216" w:rsidRDefault="00C54216" w:rsidP="002F5A09">
      <w:pPr>
        <w:pStyle w:val="Titre2"/>
      </w:pPr>
      <w:bookmarkStart w:id="7" w:name="_Toc181865179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7"/>
    </w:p>
    <w:p w14:paraId="098C6F44" w14:textId="6B953C92" w:rsidR="002F5A09" w:rsidRDefault="002F5A09" w:rsidP="002F5A09"/>
    <w:p w14:paraId="71D97EA1" w14:textId="5C388268" w:rsidR="00423A10" w:rsidRDefault="00423A10" w:rsidP="00423A10">
      <w:r>
        <w:t>Le contrat est un marché ordinaire.</w:t>
      </w:r>
      <w:r w:rsidR="005867D0">
        <w:t xml:space="preserve"> Il est décomposé en lots comme suit :</w:t>
      </w:r>
    </w:p>
    <w:p w14:paraId="33A2395A" w14:textId="77777777" w:rsidR="005867D0" w:rsidRDefault="005867D0" w:rsidP="005867D0">
      <w:pPr>
        <w:pStyle w:val="Paragraphedeliste"/>
        <w:numPr>
          <w:ilvl w:val="0"/>
          <w:numId w:val="9"/>
        </w:numPr>
      </w:pPr>
      <w:r>
        <w:t>Lot 1 : Mobilier de bureau et de réunion</w:t>
      </w:r>
    </w:p>
    <w:p w14:paraId="717EFE92" w14:textId="77777777" w:rsidR="005867D0" w:rsidRDefault="005867D0" w:rsidP="005867D0">
      <w:pPr>
        <w:pStyle w:val="Paragraphedeliste"/>
        <w:numPr>
          <w:ilvl w:val="0"/>
          <w:numId w:val="9"/>
        </w:numPr>
      </w:pPr>
      <w:r>
        <w:t>Lot 2 : Mobilier de réunion présidence</w:t>
      </w:r>
    </w:p>
    <w:p w14:paraId="06280560" w14:textId="77777777" w:rsidR="005867D0" w:rsidRDefault="005867D0" w:rsidP="00423A10"/>
    <w:p w14:paraId="0D96D25D" w14:textId="1B5D5E92" w:rsidR="005867D0" w:rsidRDefault="005867D0" w:rsidP="00423A10">
      <w:r w:rsidRPr="005867D0">
        <w:t>Le lot 1 Mobilier de bureau et de réunion comporte, à titre accessoire, la possibilité de passer des commandes complémentaires, aux prix indiqués dans l’offre, pour une durée d’un an à compter de la notification du marché au titulaire.</w:t>
      </w:r>
      <w:r>
        <w:t xml:space="preserve"> Ces commandes complémentaires pourront être passées dans la limite de 15 000,00 € HT.</w:t>
      </w:r>
    </w:p>
    <w:p w14:paraId="37F828FB" w14:textId="77777777" w:rsidR="002F5A09" w:rsidRDefault="002F5A09" w:rsidP="00194518"/>
    <w:p w14:paraId="6EB8E7E9" w14:textId="29E0D87F" w:rsidR="002F5A09" w:rsidRDefault="0048257B" w:rsidP="000F6F06">
      <w:pPr>
        <w:pStyle w:val="Titre2"/>
      </w:pPr>
      <w:bookmarkStart w:id="8" w:name="_Toc181865180"/>
      <w:r>
        <w:t xml:space="preserve">Article 2.3 </w:t>
      </w:r>
      <w:r w:rsidR="000F6F06">
        <w:t>–</w:t>
      </w:r>
      <w:r>
        <w:t xml:space="preserve"> </w:t>
      </w:r>
      <w:r w:rsidR="000F6F06">
        <w:t>Durée du contrat</w:t>
      </w:r>
      <w:r w:rsidR="006C0552">
        <w:t xml:space="preserve"> et délais d’</w:t>
      </w:r>
      <w:r w:rsidR="00FD4148">
        <w:t>exécution</w:t>
      </w:r>
      <w:bookmarkEnd w:id="8"/>
    </w:p>
    <w:p w14:paraId="29731F1E" w14:textId="407D9A8A" w:rsidR="000F6F06" w:rsidRDefault="000F6F06" w:rsidP="000F6F06"/>
    <w:p w14:paraId="1F31A95D" w14:textId="46FC9B33" w:rsidR="006C0552" w:rsidRDefault="005867D0" w:rsidP="000F6F06">
      <w:r w:rsidRPr="005867D0">
        <w:t>La date de livraison sera précisée par ordre de service. Elle aura lieu, au plus tôt, le 2 juin 2025, pour une notification du marché au plus tard le 28 février 2025.</w:t>
      </w:r>
    </w:p>
    <w:p w14:paraId="5A98513E" w14:textId="77777777" w:rsidR="005867D0" w:rsidRDefault="005867D0" w:rsidP="000F6F06"/>
    <w:p w14:paraId="1FEBD2D8" w14:textId="688CF61A" w:rsidR="00FF2732" w:rsidRDefault="00611C09" w:rsidP="00611C09">
      <w:pPr>
        <w:pStyle w:val="Titre2"/>
      </w:pPr>
      <w:bookmarkStart w:id="9" w:name="_Toc181865181"/>
      <w:r w:rsidRPr="00611C09">
        <w:t xml:space="preserve">Article 2.4 </w:t>
      </w:r>
      <w:r>
        <w:t>–</w:t>
      </w:r>
      <w:r w:rsidRPr="00611C09">
        <w:t xml:space="preserve"> Prix</w:t>
      </w:r>
      <w:bookmarkEnd w:id="9"/>
    </w:p>
    <w:p w14:paraId="460EAB8C" w14:textId="02CA1F29" w:rsidR="00611C09" w:rsidRDefault="00611C09" w:rsidP="00611C09"/>
    <w:p w14:paraId="7EC160AD" w14:textId="29FFA974" w:rsidR="006538BB" w:rsidRPr="00EE6586" w:rsidRDefault="00EE6586" w:rsidP="00C10A6F">
      <w:r w:rsidRPr="00EE6586">
        <w:t xml:space="preserve">Les prestations seront rémunérées par des prix unitaires fixés dans le bordereau des prix unitaires. </w:t>
      </w:r>
      <w:r w:rsidR="005867D0">
        <w:t>Les quantités sont précisées au bordereau des prix unitaires. En application des quantités, le montant total du marché est de :</w:t>
      </w:r>
    </w:p>
    <w:p w14:paraId="3A97F9DB" w14:textId="77777777" w:rsidR="00EE6586" w:rsidRDefault="00EE6586" w:rsidP="00C10A6F"/>
    <w:p w14:paraId="409C03F0" w14:textId="5C8CB3B8" w:rsidR="005867D0" w:rsidRPr="00492B26" w:rsidRDefault="00492B26" w:rsidP="00C10A6F">
      <w:pPr>
        <w:rPr>
          <w:b/>
          <w:bCs/>
        </w:rPr>
      </w:pPr>
      <w:r w:rsidRPr="00492B26">
        <w:rPr>
          <w:b/>
          <w:bCs/>
        </w:rPr>
        <w:t>Pour le lot 1 - Mobilier de bureau et de réunion :</w:t>
      </w:r>
    </w:p>
    <w:p w14:paraId="5DA26773" w14:textId="77777777" w:rsidR="005867D0" w:rsidRDefault="005867D0" w:rsidP="00C10A6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456"/>
        <w:gridCol w:w="708"/>
      </w:tblGrid>
      <w:tr w:rsidR="006538BB" w:rsidRPr="009617FB" w14:paraId="51E672B2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857DA" w14:textId="77777777" w:rsidR="006538BB" w:rsidRPr="009617F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Montant HT :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EF03B" w14:textId="77777777" w:rsidR="006538BB" w:rsidRPr="009617F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7DB2DD73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6538BB" w:rsidRPr="009617FB" w14:paraId="13E6E6C9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B027D" w14:textId="77777777" w:rsidR="006538BB" w:rsidRPr="009617F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(taux de …… %)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B377F" w14:textId="77777777" w:rsidR="006538BB" w:rsidRPr="009617F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2FFCE4EB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6538BB" w:rsidRPr="009617FB" w14:paraId="22FFD489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07793" w14:textId="77777777" w:rsidR="006538B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Montant TTC : 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811FB" w14:textId="77777777" w:rsidR="006538B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558679E9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</w:tbl>
    <w:p w14:paraId="433E6B6B" w14:textId="77777777" w:rsidR="00A060FB" w:rsidRDefault="00A060FB" w:rsidP="00611C09"/>
    <w:p w14:paraId="4784B8E4" w14:textId="1A78F514" w:rsidR="00492B26" w:rsidRPr="00492B26" w:rsidRDefault="00492B26" w:rsidP="00492B26">
      <w:pPr>
        <w:rPr>
          <w:b/>
          <w:bCs/>
        </w:rPr>
      </w:pPr>
      <w:r w:rsidRPr="00492B26">
        <w:rPr>
          <w:b/>
          <w:bCs/>
        </w:rPr>
        <w:t xml:space="preserve">Pour le lot </w:t>
      </w:r>
      <w:r>
        <w:rPr>
          <w:b/>
          <w:bCs/>
        </w:rPr>
        <w:t>2</w:t>
      </w:r>
      <w:r w:rsidRPr="00492B26">
        <w:rPr>
          <w:b/>
          <w:bCs/>
        </w:rPr>
        <w:t xml:space="preserve"> - Mobilier </w:t>
      </w:r>
      <w:r>
        <w:rPr>
          <w:b/>
          <w:bCs/>
        </w:rPr>
        <w:t>de réunion présidence :</w:t>
      </w:r>
    </w:p>
    <w:p w14:paraId="49B5EDC0" w14:textId="77777777" w:rsidR="00492B26" w:rsidRDefault="00492B26" w:rsidP="00492B26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456"/>
        <w:gridCol w:w="708"/>
      </w:tblGrid>
      <w:tr w:rsidR="00492B26" w:rsidRPr="009617FB" w14:paraId="53B6136F" w14:textId="77777777" w:rsidTr="00C56865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EC04E" w14:textId="77777777" w:rsidR="00492B26" w:rsidRPr="009617FB" w:rsidRDefault="00492B26" w:rsidP="00C56865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Montant HT :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45D35" w14:textId="77777777" w:rsidR="00492B26" w:rsidRPr="009617FB" w:rsidRDefault="00492B26" w:rsidP="00C56865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3008912C" w14:textId="77777777" w:rsidR="00492B26" w:rsidRDefault="00492B26" w:rsidP="00C56865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492B26" w:rsidRPr="009617FB" w14:paraId="5ACA7DDF" w14:textId="77777777" w:rsidTr="00C56865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469FC" w14:textId="77777777" w:rsidR="00492B26" w:rsidRPr="009617FB" w:rsidRDefault="00492B26" w:rsidP="00C56865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(taux de …… %)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2A82A" w14:textId="77777777" w:rsidR="00492B26" w:rsidRPr="009617FB" w:rsidRDefault="00492B26" w:rsidP="00C56865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176A0EE7" w14:textId="77777777" w:rsidR="00492B26" w:rsidRDefault="00492B26" w:rsidP="00C56865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492B26" w:rsidRPr="009617FB" w14:paraId="0AC8BDDB" w14:textId="77777777" w:rsidTr="00C56865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BB891" w14:textId="77777777" w:rsidR="00492B26" w:rsidRDefault="00492B26" w:rsidP="00C56865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Montant TTC : 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4635F" w14:textId="77777777" w:rsidR="00492B26" w:rsidRDefault="00492B26" w:rsidP="00C56865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0E952568" w14:textId="77777777" w:rsidR="00492B26" w:rsidRDefault="00492B26" w:rsidP="00C56865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</w:tbl>
    <w:p w14:paraId="12EAB651" w14:textId="77777777" w:rsidR="00492B26" w:rsidRDefault="00492B26" w:rsidP="00611C09"/>
    <w:p w14:paraId="7C393FB3" w14:textId="77777777" w:rsidR="000363EA" w:rsidRDefault="000363EA" w:rsidP="00611C09"/>
    <w:p w14:paraId="6366E44A" w14:textId="2DF6873A" w:rsidR="000F5383" w:rsidRDefault="000F5383" w:rsidP="000F5383">
      <w:pPr>
        <w:pStyle w:val="Titre1"/>
      </w:pPr>
      <w:bookmarkStart w:id="10" w:name="_Toc181865182"/>
      <w:r>
        <w:lastRenderedPageBreak/>
        <w:t>Chapitre 3 – Paiement</w:t>
      </w:r>
      <w:bookmarkEnd w:id="10"/>
    </w:p>
    <w:p w14:paraId="5C29A6D9" w14:textId="77777777" w:rsidR="000F5383" w:rsidRDefault="000F5383" w:rsidP="00611C09"/>
    <w:p w14:paraId="0282FEC0" w14:textId="57126630" w:rsidR="00B42D84" w:rsidRDefault="00B42D84" w:rsidP="001A2427">
      <w:pPr>
        <w:pStyle w:val="Titre2"/>
      </w:pPr>
      <w:bookmarkStart w:id="11" w:name="_Toc181865183"/>
      <w:r>
        <w:t xml:space="preserve">Article </w:t>
      </w:r>
      <w:r w:rsidR="002F2C30">
        <w:t>3.1</w:t>
      </w:r>
      <w:r w:rsidR="001A2427">
        <w:t xml:space="preserve"> – Avance</w:t>
      </w:r>
      <w:bookmarkEnd w:id="11"/>
    </w:p>
    <w:p w14:paraId="5AA1BAE6" w14:textId="77E733CC" w:rsidR="001A2427" w:rsidRDefault="001A2427" w:rsidP="001A2427"/>
    <w:p w14:paraId="3AF4338D" w14:textId="6D9A93DF" w:rsidR="00515073" w:rsidRDefault="004C3413" w:rsidP="009455A1">
      <w:r>
        <w:t>Je renonce au bénéfice de l’avance :</w:t>
      </w:r>
    </w:p>
    <w:p w14:paraId="2226B351" w14:textId="6160CD30" w:rsidR="004C3413" w:rsidRDefault="004C3413" w:rsidP="009455A1"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Oui</w:t>
      </w:r>
    </w:p>
    <w:p w14:paraId="41B9EAF0" w14:textId="2FC3C832" w:rsidR="004C3413" w:rsidRDefault="004C3413" w:rsidP="009455A1"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Non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2" w:name="_Toc181865184"/>
      <w:r>
        <w:t xml:space="preserve">Article 3.2 – </w:t>
      </w:r>
      <w:r w:rsidR="00ED49AE">
        <w:t>Coordonnées bancaires</w:t>
      </w:r>
      <w:bookmarkEnd w:id="12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CD246B">
      <w:pPr>
        <w:keepNext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1E71C7">
      <w:pPr>
        <w:pStyle w:val="Titre1"/>
        <w:keepNext/>
      </w:pPr>
      <w:bookmarkStart w:id="13" w:name="_Toc181865185"/>
      <w:r>
        <w:t>Chapitre 4</w:t>
      </w:r>
      <w:r w:rsidR="00CB3BAA">
        <w:t xml:space="preserve"> – Signature des parties</w:t>
      </w:r>
      <w:bookmarkEnd w:id="13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4" w:name="_Toc181865186"/>
      <w:r>
        <w:t>Article 4.1 – Engagement de l’opérateur économique</w:t>
      </w:r>
      <w:bookmarkEnd w:id="14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5" w:name="_Toc181865187"/>
      <w:r>
        <w:lastRenderedPageBreak/>
        <w:t>Article 4.2 – Acceptation de l’offre par l’acheteur</w:t>
      </w:r>
      <w:bookmarkEnd w:id="15"/>
    </w:p>
    <w:p w14:paraId="07B1CA95" w14:textId="4AB57A50" w:rsidR="00F8166A" w:rsidRDefault="00F8166A" w:rsidP="00F97C5D">
      <w:pPr>
        <w:keepNext/>
      </w:pPr>
    </w:p>
    <w:p w14:paraId="2F223424" w14:textId="14D06D38" w:rsidR="00F8166A" w:rsidRDefault="00E67D8F" w:rsidP="00F97C5D">
      <w:pPr>
        <w:keepNext/>
      </w:pPr>
      <w:r>
        <w:t>La présente offre est acceptée</w:t>
      </w:r>
      <w:r w:rsidR="005C6076">
        <w:t xml:space="preserve">, 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EA302A" w:rsidRDefault="00700542" w:rsidP="00EA302A">
      <w:pPr>
        <w:pStyle w:val="Titre3"/>
      </w:pPr>
      <w:bookmarkStart w:id="16" w:name="_Toc181865188"/>
      <w:r w:rsidRPr="00EA302A">
        <w:lastRenderedPageBreak/>
        <w:t>ANNEXE N°1 : CONSTITUTION DU</w:t>
      </w:r>
      <w:r w:rsidR="00B37D4B" w:rsidRPr="00EA302A">
        <w:t xml:space="preserve"> GROUPEMENT ET HABILITATION DU MANDATAIRE</w:t>
      </w:r>
      <w:bookmarkEnd w:id="16"/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7D6C2E07" w14:textId="279B9C2C" w:rsidR="00165AF0" w:rsidRPr="002101EF" w:rsidRDefault="00B42BBE" w:rsidP="002101EF">
      <w:pPr>
        <w:keepNext/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165AF0" w:rsidRPr="002101EF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CD6B8" w14:textId="77777777" w:rsidR="004E2612" w:rsidRDefault="004E2612" w:rsidP="00714912">
      <w:r>
        <w:separator/>
      </w:r>
    </w:p>
  </w:endnote>
  <w:endnote w:type="continuationSeparator" w:id="0">
    <w:p w14:paraId="2D6295C8" w14:textId="77777777" w:rsidR="004E2612" w:rsidRDefault="004E2612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033"/>
      <w:gridCol w:w="1969"/>
    </w:tblGrid>
    <w:tr w:rsidR="00793B13" w14:paraId="3EE04185" w14:textId="77777777" w:rsidTr="006E1C0A">
      <w:trPr>
        <w:trHeight w:hRule="exact" w:val="47"/>
        <w:jc w:val="center"/>
      </w:trPr>
      <w:tc>
        <w:tcPr>
          <w:tcW w:w="4297" w:type="pct"/>
          <w:shd w:val="clear" w:color="auto" w:fill="3058A1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03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6E1C0A">
      <w:trPr>
        <w:trHeight w:hRule="exact" w:val="289"/>
        <w:jc w:val="center"/>
      </w:trPr>
      <w:tc>
        <w:tcPr>
          <w:tcW w:w="4297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03820F67" w:rsidR="00032912" w:rsidRPr="00AF6C29" w:rsidRDefault="006E1C0A" w:rsidP="006E1C0A">
          <w:pPr>
            <w:rPr>
              <w:sz w:val="18"/>
              <w:szCs w:val="18"/>
            </w:rPr>
          </w:pPr>
          <w:r w:rsidRPr="00AF6C29">
            <w:rPr>
              <w:sz w:val="18"/>
              <w:szCs w:val="18"/>
            </w:rPr>
            <w:t xml:space="preserve">Acte d’Engagement - </w:t>
          </w:r>
          <w:r w:rsidR="005E68B2" w:rsidRPr="005E68B2">
            <w:rPr>
              <w:sz w:val="18"/>
              <w:szCs w:val="18"/>
            </w:rPr>
            <w:t>Achat de mobilier de bureau et de réunion pour la CCI Pau Béarn</w:t>
          </w:r>
        </w:p>
      </w:tc>
      <w:tc>
        <w:tcPr>
          <w:tcW w:w="703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Pr="00AF6C29" w:rsidRDefault="000D2024">
          <w:pPr>
            <w:pStyle w:val="En-tte"/>
            <w:jc w:val="right"/>
            <w:rPr>
              <w:caps/>
              <w:sz w:val="18"/>
              <w:szCs w:val="18"/>
            </w:rPr>
          </w:pPr>
          <w:r w:rsidRPr="00AF6C29">
            <w:rPr>
              <w:caps/>
              <w:sz w:val="18"/>
              <w:szCs w:val="18"/>
            </w:rPr>
            <w:t xml:space="preserve">Page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PAGE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1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  <w:r w:rsidRPr="00AF6C29">
            <w:rPr>
              <w:caps/>
              <w:sz w:val="18"/>
              <w:szCs w:val="18"/>
            </w:rPr>
            <w:t xml:space="preserve"> sur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NUMPAGES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2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6E354" w14:textId="77777777" w:rsidR="004E2612" w:rsidRDefault="004E2612" w:rsidP="00714912">
      <w:r>
        <w:separator/>
      </w:r>
    </w:p>
  </w:footnote>
  <w:footnote w:type="continuationSeparator" w:id="0">
    <w:p w14:paraId="4B6A3533" w14:textId="77777777" w:rsidR="004E2612" w:rsidRDefault="004E2612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FF82" w14:textId="5D8A78A3" w:rsidR="00714912" w:rsidRDefault="0071491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42F443" wp14:editId="699B3C19">
          <wp:simplePos x="0" y="0"/>
          <wp:positionH relativeFrom="column">
            <wp:posOffset>-481965</wp:posOffset>
          </wp:positionH>
          <wp:positionV relativeFrom="paragraph">
            <wp:posOffset>-235585</wp:posOffset>
          </wp:positionV>
          <wp:extent cx="1720391" cy="534389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391" cy="534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17DD7"/>
    <w:multiLevelType w:val="hybridMultilevel"/>
    <w:tmpl w:val="DA627576"/>
    <w:lvl w:ilvl="0" w:tplc="E96EE6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4509">
    <w:abstractNumId w:val="2"/>
  </w:num>
  <w:num w:numId="2" w16cid:durableId="557009132">
    <w:abstractNumId w:val="7"/>
  </w:num>
  <w:num w:numId="3" w16cid:durableId="2130935025">
    <w:abstractNumId w:val="3"/>
  </w:num>
  <w:num w:numId="4" w16cid:durableId="841358405">
    <w:abstractNumId w:val="0"/>
  </w:num>
  <w:num w:numId="5" w16cid:durableId="160507211">
    <w:abstractNumId w:val="5"/>
  </w:num>
  <w:num w:numId="6" w16cid:durableId="2018998321">
    <w:abstractNumId w:val="1"/>
  </w:num>
  <w:num w:numId="7" w16cid:durableId="153883801">
    <w:abstractNumId w:val="1"/>
  </w:num>
  <w:num w:numId="8" w16cid:durableId="1102069167">
    <w:abstractNumId w:val="6"/>
  </w:num>
  <w:num w:numId="9" w16cid:durableId="1608804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14BFF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471A9"/>
    <w:rsid w:val="00052761"/>
    <w:rsid w:val="00054C3B"/>
    <w:rsid w:val="00055F3B"/>
    <w:rsid w:val="000604A4"/>
    <w:rsid w:val="00060DCE"/>
    <w:rsid w:val="00076E7F"/>
    <w:rsid w:val="0008012F"/>
    <w:rsid w:val="00081CA4"/>
    <w:rsid w:val="000861C2"/>
    <w:rsid w:val="000912FF"/>
    <w:rsid w:val="000915D8"/>
    <w:rsid w:val="000935E9"/>
    <w:rsid w:val="00094E90"/>
    <w:rsid w:val="00095CC2"/>
    <w:rsid w:val="000A2151"/>
    <w:rsid w:val="000A549D"/>
    <w:rsid w:val="000C49B2"/>
    <w:rsid w:val="000C7C0F"/>
    <w:rsid w:val="000D2024"/>
    <w:rsid w:val="000D2492"/>
    <w:rsid w:val="000D30E3"/>
    <w:rsid w:val="000D488B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BA3"/>
    <w:rsid w:val="00105F89"/>
    <w:rsid w:val="00113ABF"/>
    <w:rsid w:val="00113ACC"/>
    <w:rsid w:val="00113F8D"/>
    <w:rsid w:val="001154B7"/>
    <w:rsid w:val="0012284F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2C5"/>
    <w:rsid w:val="00181AE3"/>
    <w:rsid w:val="00183084"/>
    <w:rsid w:val="0018486F"/>
    <w:rsid w:val="00185082"/>
    <w:rsid w:val="0018554A"/>
    <w:rsid w:val="00185D5A"/>
    <w:rsid w:val="00187E4F"/>
    <w:rsid w:val="001915F0"/>
    <w:rsid w:val="00194518"/>
    <w:rsid w:val="00196745"/>
    <w:rsid w:val="001A16E3"/>
    <w:rsid w:val="001A2427"/>
    <w:rsid w:val="001A2E78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1A4"/>
    <w:rsid w:val="001C4DAD"/>
    <w:rsid w:val="001C54C9"/>
    <w:rsid w:val="001C5BEA"/>
    <w:rsid w:val="001D0980"/>
    <w:rsid w:val="001D0F2E"/>
    <w:rsid w:val="001D18F0"/>
    <w:rsid w:val="001D244C"/>
    <w:rsid w:val="001D2CD6"/>
    <w:rsid w:val="001D47AD"/>
    <w:rsid w:val="001E71C7"/>
    <w:rsid w:val="001F0A23"/>
    <w:rsid w:val="001F0E47"/>
    <w:rsid w:val="001F15A2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F9C"/>
    <w:rsid w:val="00211C15"/>
    <w:rsid w:val="00211EE1"/>
    <w:rsid w:val="0021310F"/>
    <w:rsid w:val="00222E05"/>
    <w:rsid w:val="0022606E"/>
    <w:rsid w:val="00226C77"/>
    <w:rsid w:val="00231646"/>
    <w:rsid w:val="002328B1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6209F"/>
    <w:rsid w:val="0026534E"/>
    <w:rsid w:val="002669DE"/>
    <w:rsid w:val="002729DC"/>
    <w:rsid w:val="00273430"/>
    <w:rsid w:val="002739A0"/>
    <w:rsid w:val="002741FC"/>
    <w:rsid w:val="002769D8"/>
    <w:rsid w:val="00277711"/>
    <w:rsid w:val="00280F2E"/>
    <w:rsid w:val="0028505A"/>
    <w:rsid w:val="00285D4B"/>
    <w:rsid w:val="00286E20"/>
    <w:rsid w:val="00287E75"/>
    <w:rsid w:val="00294BA2"/>
    <w:rsid w:val="002957CB"/>
    <w:rsid w:val="00295C7B"/>
    <w:rsid w:val="002975DD"/>
    <w:rsid w:val="002979D3"/>
    <w:rsid w:val="002A029E"/>
    <w:rsid w:val="002A0D4A"/>
    <w:rsid w:val="002A1D98"/>
    <w:rsid w:val="002A336F"/>
    <w:rsid w:val="002A5711"/>
    <w:rsid w:val="002A5797"/>
    <w:rsid w:val="002A5B69"/>
    <w:rsid w:val="002B06CE"/>
    <w:rsid w:val="002B3D49"/>
    <w:rsid w:val="002C2803"/>
    <w:rsid w:val="002C6833"/>
    <w:rsid w:val="002D58BF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535B"/>
    <w:rsid w:val="0031284A"/>
    <w:rsid w:val="0031550F"/>
    <w:rsid w:val="003209AE"/>
    <w:rsid w:val="00321446"/>
    <w:rsid w:val="00321B57"/>
    <w:rsid w:val="0032260C"/>
    <w:rsid w:val="00323DF7"/>
    <w:rsid w:val="00323FCA"/>
    <w:rsid w:val="0032407E"/>
    <w:rsid w:val="003259A5"/>
    <w:rsid w:val="003263F1"/>
    <w:rsid w:val="0032791E"/>
    <w:rsid w:val="0033311D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1D71"/>
    <w:rsid w:val="00363BFD"/>
    <w:rsid w:val="00375C70"/>
    <w:rsid w:val="00380EAE"/>
    <w:rsid w:val="0038193F"/>
    <w:rsid w:val="00383052"/>
    <w:rsid w:val="00383ADF"/>
    <w:rsid w:val="0038521D"/>
    <w:rsid w:val="00391E5B"/>
    <w:rsid w:val="00392633"/>
    <w:rsid w:val="00395C56"/>
    <w:rsid w:val="00397307"/>
    <w:rsid w:val="003A42C2"/>
    <w:rsid w:val="003A5ED3"/>
    <w:rsid w:val="003A7B24"/>
    <w:rsid w:val="003B0B81"/>
    <w:rsid w:val="003B0FEA"/>
    <w:rsid w:val="003B2211"/>
    <w:rsid w:val="003B246A"/>
    <w:rsid w:val="003B4734"/>
    <w:rsid w:val="003C0952"/>
    <w:rsid w:val="003C7E4B"/>
    <w:rsid w:val="003D3A0B"/>
    <w:rsid w:val="003D638B"/>
    <w:rsid w:val="003D6803"/>
    <w:rsid w:val="003E47B7"/>
    <w:rsid w:val="003E7B42"/>
    <w:rsid w:val="003F08DD"/>
    <w:rsid w:val="003F33F0"/>
    <w:rsid w:val="003F5370"/>
    <w:rsid w:val="003F701C"/>
    <w:rsid w:val="00400C7F"/>
    <w:rsid w:val="004017DA"/>
    <w:rsid w:val="00402E67"/>
    <w:rsid w:val="00405BF1"/>
    <w:rsid w:val="0040694C"/>
    <w:rsid w:val="0041244B"/>
    <w:rsid w:val="00414045"/>
    <w:rsid w:val="00416710"/>
    <w:rsid w:val="004167C9"/>
    <w:rsid w:val="00423A10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5700"/>
    <w:rsid w:val="00445839"/>
    <w:rsid w:val="00452A38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2138"/>
    <w:rsid w:val="004924DC"/>
    <w:rsid w:val="00492B26"/>
    <w:rsid w:val="004A01CE"/>
    <w:rsid w:val="004A108B"/>
    <w:rsid w:val="004A2250"/>
    <w:rsid w:val="004A44CF"/>
    <w:rsid w:val="004A4B7B"/>
    <w:rsid w:val="004A78AE"/>
    <w:rsid w:val="004B26E9"/>
    <w:rsid w:val="004B5966"/>
    <w:rsid w:val="004C3413"/>
    <w:rsid w:val="004C4753"/>
    <w:rsid w:val="004C4C3B"/>
    <w:rsid w:val="004C4F67"/>
    <w:rsid w:val="004D00C0"/>
    <w:rsid w:val="004D1392"/>
    <w:rsid w:val="004D3C95"/>
    <w:rsid w:val="004E2612"/>
    <w:rsid w:val="004E2B26"/>
    <w:rsid w:val="004E53E3"/>
    <w:rsid w:val="004E54B1"/>
    <w:rsid w:val="004E78B1"/>
    <w:rsid w:val="004F0351"/>
    <w:rsid w:val="004F2674"/>
    <w:rsid w:val="004F4715"/>
    <w:rsid w:val="004F70A6"/>
    <w:rsid w:val="004F7909"/>
    <w:rsid w:val="00501E16"/>
    <w:rsid w:val="00506349"/>
    <w:rsid w:val="00506FA6"/>
    <w:rsid w:val="00510678"/>
    <w:rsid w:val="005110F2"/>
    <w:rsid w:val="00515073"/>
    <w:rsid w:val="00520440"/>
    <w:rsid w:val="00520E55"/>
    <w:rsid w:val="0052131E"/>
    <w:rsid w:val="00521CB3"/>
    <w:rsid w:val="005243C1"/>
    <w:rsid w:val="00525B24"/>
    <w:rsid w:val="00534056"/>
    <w:rsid w:val="005350D9"/>
    <w:rsid w:val="00540AE9"/>
    <w:rsid w:val="00541A92"/>
    <w:rsid w:val="00544C93"/>
    <w:rsid w:val="00547A0A"/>
    <w:rsid w:val="00552394"/>
    <w:rsid w:val="00555C52"/>
    <w:rsid w:val="00556944"/>
    <w:rsid w:val="005578D4"/>
    <w:rsid w:val="0056138F"/>
    <w:rsid w:val="005623D8"/>
    <w:rsid w:val="00562D6F"/>
    <w:rsid w:val="005642D3"/>
    <w:rsid w:val="0058090B"/>
    <w:rsid w:val="00582381"/>
    <w:rsid w:val="00584039"/>
    <w:rsid w:val="0058657E"/>
    <w:rsid w:val="005867D0"/>
    <w:rsid w:val="00587EAF"/>
    <w:rsid w:val="0059099D"/>
    <w:rsid w:val="0059191A"/>
    <w:rsid w:val="00593F9F"/>
    <w:rsid w:val="00597780"/>
    <w:rsid w:val="005B554C"/>
    <w:rsid w:val="005B7427"/>
    <w:rsid w:val="005C4410"/>
    <w:rsid w:val="005C6076"/>
    <w:rsid w:val="005D1490"/>
    <w:rsid w:val="005D1A18"/>
    <w:rsid w:val="005D2EE7"/>
    <w:rsid w:val="005D7354"/>
    <w:rsid w:val="005E2E5F"/>
    <w:rsid w:val="005E68B2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6C7B"/>
    <w:rsid w:val="00627C2B"/>
    <w:rsid w:val="0063269F"/>
    <w:rsid w:val="006404CA"/>
    <w:rsid w:val="006443AA"/>
    <w:rsid w:val="006445A9"/>
    <w:rsid w:val="006538BB"/>
    <w:rsid w:val="00661F02"/>
    <w:rsid w:val="006644D8"/>
    <w:rsid w:val="00664B55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4DD5"/>
    <w:rsid w:val="006A5069"/>
    <w:rsid w:val="006A54D3"/>
    <w:rsid w:val="006A6092"/>
    <w:rsid w:val="006A66B3"/>
    <w:rsid w:val="006B192C"/>
    <w:rsid w:val="006B20A9"/>
    <w:rsid w:val="006B3264"/>
    <w:rsid w:val="006B53C0"/>
    <w:rsid w:val="006B592D"/>
    <w:rsid w:val="006B7801"/>
    <w:rsid w:val="006C034F"/>
    <w:rsid w:val="006C0552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F56"/>
    <w:rsid w:val="0070027F"/>
    <w:rsid w:val="00700542"/>
    <w:rsid w:val="00700544"/>
    <w:rsid w:val="00714912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60367"/>
    <w:rsid w:val="007607DD"/>
    <w:rsid w:val="0076131A"/>
    <w:rsid w:val="0076599C"/>
    <w:rsid w:val="007701CB"/>
    <w:rsid w:val="00780620"/>
    <w:rsid w:val="00781F45"/>
    <w:rsid w:val="00784507"/>
    <w:rsid w:val="00785D4C"/>
    <w:rsid w:val="007865E7"/>
    <w:rsid w:val="007867B8"/>
    <w:rsid w:val="00793556"/>
    <w:rsid w:val="00793B13"/>
    <w:rsid w:val="007A07CF"/>
    <w:rsid w:val="007A398F"/>
    <w:rsid w:val="007A46A1"/>
    <w:rsid w:val="007A4D20"/>
    <w:rsid w:val="007A5B84"/>
    <w:rsid w:val="007B1EA4"/>
    <w:rsid w:val="007B4071"/>
    <w:rsid w:val="007B4325"/>
    <w:rsid w:val="007C2274"/>
    <w:rsid w:val="007C54C0"/>
    <w:rsid w:val="007D10A1"/>
    <w:rsid w:val="007D10AA"/>
    <w:rsid w:val="007E072C"/>
    <w:rsid w:val="007E2693"/>
    <w:rsid w:val="007E2E27"/>
    <w:rsid w:val="007E5419"/>
    <w:rsid w:val="007F1CE6"/>
    <w:rsid w:val="007F3523"/>
    <w:rsid w:val="007F4495"/>
    <w:rsid w:val="007F6093"/>
    <w:rsid w:val="007F69A2"/>
    <w:rsid w:val="00803FC8"/>
    <w:rsid w:val="0081072A"/>
    <w:rsid w:val="00810B3B"/>
    <w:rsid w:val="00811B5F"/>
    <w:rsid w:val="00811FCF"/>
    <w:rsid w:val="008149FC"/>
    <w:rsid w:val="00817A28"/>
    <w:rsid w:val="0082025F"/>
    <w:rsid w:val="008230CF"/>
    <w:rsid w:val="00830974"/>
    <w:rsid w:val="008314D4"/>
    <w:rsid w:val="00833291"/>
    <w:rsid w:val="0083337C"/>
    <w:rsid w:val="0083578C"/>
    <w:rsid w:val="00835849"/>
    <w:rsid w:val="00836AE1"/>
    <w:rsid w:val="00851087"/>
    <w:rsid w:val="00855DE3"/>
    <w:rsid w:val="0085620F"/>
    <w:rsid w:val="008616F0"/>
    <w:rsid w:val="008645C4"/>
    <w:rsid w:val="008652D6"/>
    <w:rsid w:val="008672C0"/>
    <w:rsid w:val="00867ABE"/>
    <w:rsid w:val="00870BF2"/>
    <w:rsid w:val="00877CDD"/>
    <w:rsid w:val="00882FAF"/>
    <w:rsid w:val="008834E8"/>
    <w:rsid w:val="0088714B"/>
    <w:rsid w:val="00891089"/>
    <w:rsid w:val="00892D0E"/>
    <w:rsid w:val="008938EB"/>
    <w:rsid w:val="00895D5F"/>
    <w:rsid w:val="008A1F8F"/>
    <w:rsid w:val="008A405C"/>
    <w:rsid w:val="008B21F2"/>
    <w:rsid w:val="008B2339"/>
    <w:rsid w:val="008B6B94"/>
    <w:rsid w:val="008B6F94"/>
    <w:rsid w:val="008C14F4"/>
    <w:rsid w:val="008C5E29"/>
    <w:rsid w:val="008C6E9B"/>
    <w:rsid w:val="008D130E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A89"/>
    <w:rsid w:val="008F4CAF"/>
    <w:rsid w:val="00903DEE"/>
    <w:rsid w:val="00904EE9"/>
    <w:rsid w:val="0091207D"/>
    <w:rsid w:val="009137C5"/>
    <w:rsid w:val="00921302"/>
    <w:rsid w:val="00921CEE"/>
    <w:rsid w:val="00922D99"/>
    <w:rsid w:val="00926781"/>
    <w:rsid w:val="00934045"/>
    <w:rsid w:val="0094078B"/>
    <w:rsid w:val="009455A1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2AB2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62E7"/>
    <w:rsid w:val="00996C90"/>
    <w:rsid w:val="009A19A6"/>
    <w:rsid w:val="009A6E5E"/>
    <w:rsid w:val="009A7162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A00046"/>
    <w:rsid w:val="00A016BD"/>
    <w:rsid w:val="00A05D63"/>
    <w:rsid w:val="00A060FB"/>
    <w:rsid w:val="00A077A1"/>
    <w:rsid w:val="00A13631"/>
    <w:rsid w:val="00A2123C"/>
    <w:rsid w:val="00A226D1"/>
    <w:rsid w:val="00A23770"/>
    <w:rsid w:val="00A23A10"/>
    <w:rsid w:val="00A254C1"/>
    <w:rsid w:val="00A2783F"/>
    <w:rsid w:val="00A33947"/>
    <w:rsid w:val="00A33C52"/>
    <w:rsid w:val="00A34ABB"/>
    <w:rsid w:val="00A35044"/>
    <w:rsid w:val="00A416F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6555"/>
    <w:rsid w:val="00A77DE3"/>
    <w:rsid w:val="00A832AC"/>
    <w:rsid w:val="00A87E13"/>
    <w:rsid w:val="00A942B9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C0C67"/>
    <w:rsid w:val="00AD35A2"/>
    <w:rsid w:val="00AD4DDB"/>
    <w:rsid w:val="00AD5066"/>
    <w:rsid w:val="00AE1283"/>
    <w:rsid w:val="00AE23A9"/>
    <w:rsid w:val="00AE2D2F"/>
    <w:rsid w:val="00AE6430"/>
    <w:rsid w:val="00AE70CE"/>
    <w:rsid w:val="00AE7187"/>
    <w:rsid w:val="00AF2EFD"/>
    <w:rsid w:val="00AF69BC"/>
    <w:rsid w:val="00AF6C29"/>
    <w:rsid w:val="00AF7EF9"/>
    <w:rsid w:val="00B000B5"/>
    <w:rsid w:val="00B041C9"/>
    <w:rsid w:val="00B059AA"/>
    <w:rsid w:val="00B05AC2"/>
    <w:rsid w:val="00B06CC7"/>
    <w:rsid w:val="00B17373"/>
    <w:rsid w:val="00B20467"/>
    <w:rsid w:val="00B20968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51184"/>
    <w:rsid w:val="00B530CB"/>
    <w:rsid w:val="00B534C8"/>
    <w:rsid w:val="00B53B56"/>
    <w:rsid w:val="00B544EC"/>
    <w:rsid w:val="00B66AC8"/>
    <w:rsid w:val="00B7068D"/>
    <w:rsid w:val="00B71195"/>
    <w:rsid w:val="00B75C3E"/>
    <w:rsid w:val="00B763F4"/>
    <w:rsid w:val="00B77893"/>
    <w:rsid w:val="00B80AAF"/>
    <w:rsid w:val="00B836ED"/>
    <w:rsid w:val="00B84812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B7C7B"/>
    <w:rsid w:val="00BC750D"/>
    <w:rsid w:val="00BD042C"/>
    <w:rsid w:val="00BD2C66"/>
    <w:rsid w:val="00BD4649"/>
    <w:rsid w:val="00BD6735"/>
    <w:rsid w:val="00BD6E46"/>
    <w:rsid w:val="00BD78C4"/>
    <w:rsid w:val="00BE1305"/>
    <w:rsid w:val="00BE20E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0A6F"/>
    <w:rsid w:val="00C13E2A"/>
    <w:rsid w:val="00C16C03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3808"/>
    <w:rsid w:val="00C344FB"/>
    <w:rsid w:val="00C34D92"/>
    <w:rsid w:val="00C43152"/>
    <w:rsid w:val="00C44EDA"/>
    <w:rsid w:val="00C44F38"/>
    <w:rsid w:val="00C45B54"/>
    <w:rsid w:val="00C45BDE"/>
    <w:rsid w:val="00C463A2"/>
    <w:rsid w:val="00C50EE7"/>
    <w:rsid w:val="00C53884"/>
    <w:rsid w:val="00C54216"/>
    <w:rsid w:val="00C56011"/>
    <w:rsid w:val="00C56AA0"/>
    <w:rsid w:val="00C622E8"/>
    <w:rsid w:val="00C6328F"/>
    <w:rsid w:val="00C64EBF"/>
    <w:rsid w:val="00C65761"/>
    <w:rsid w:val="00C660D5"/>
    <w:rsid w:val="00C66B68"/>
    <w:rsid w:val="00C713C6"/>
    <w:rsid w:val="00C72394"/>
    <w:rsid w:val="00C76B10"/>
    <w:rsid w:val="00C77CE2"/>
    <w:rsid w:val="00C80CB0"/>
    <w:rsid w:val="00C82487"/>
    <w:rsid w:val="00C8674D"/>
    <w:rsid w:val="00C93553"/>
    <w:rsid w:val="00C948CA"/>
    <w:rsid w:val="00C95915"/>
    <w:rsid w:val="00C95D1F"/>
    <w:rsid w:val="00C975F8"/>
    <w:rsid w:val="00C97C08"/>
    <w:rsid w:val="00CA009B"/>
    <w:rsid w:val="00CA1E6F"/>
    <w:rsid w:val="00CA3616"/>
    <w:rsid w:val="00CA7DC8"/>
    <w:rsid w:val="00CA7E18"/>
    <w:rsid w:val="00CB1F55"/>
    <w:rsid w:val="00CB2B28"/>
    <w:rsid w:val="00CB3BAA"/>
    <w:rsid w:val="00CB4670"/>
    <w:rsid w:val="00CC2FAA"/>
    <w:rsid w:val="00CC745E"/>
    <w:rsid w:val="00CD04AF"/>
    <w:rsid w:val="00CD246B"/>
    <w:rsid w:val="00CD31E6"/>
    <w:rsid w:val="00CD4057"/>
    <w:rsid w:val="00CD4B41"/>
    <w:rsid w:val="00CD4E77"/>
    <w:rsid w:val="00CD7A55"/>
    <w:rsid w:val="00CE5973"/>
    <w:rsid w:val="00CE65B7"/>
    <w:rsid w:val="00CF05B1"/>
    <w:rsid w:val="00CF0B76"/>
    <w:rsid w:val="00CF1876"/>
    <w:rsid w:val="00CF2AD3"/>
    <w:rsid w:val="00CF6AA2"/>
    <w:rsid w:val="00D04D16"/>
    <w:rsid w:val="00D061A7"/>
    <w:rsid w:val="00D07DDC"/>
    <w:rsid w:val="00D11CD3"/>
    <w:rsid w:val="00D16585"/>
    <w:rsid w:val="00D166CF"/>
    <w:rsid w:val="00D17A80"/>
    <w:rsid w:val="00D221EF"/>
    <w:rsid w:val="00D25BA8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3B23"/>
    <w:rsid w:val="00D54F58"/>
    <w:rsid w:val="00D573A3"/>
    <w:rsid w:val="00D57481"/>
    <w:rsid w:val="00D64391"/>
    <w:rsid w:val="00D675AB"/>
    <w:rsid w:val="00D71DF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C4F80"/>
    <w:rsid w:val="00DD0546"/>
    <w:rsid w:val="00DD08BE"/>
    <w:rsid w:val="00DD3A89"/>
    <w:rsid w:val="00DD5659"/>
    <w:rsid w:val="00DD58E4"/>
    <w:rsid w:val="00DE24FC"/>
    <w:rsid w:val="00DE3FC5"/>
    <w:rsid w:val="00DE491C"/>
    <w:rsid w:val="00DE5024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51FE"/>
    <w:rsid w:val="00E1533A"/>
    <w:rsid w:val="00E16AF7"/>
    <w:rsid w:val="00E2022E"/>
    <w:rsid w:val="00E2471A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74C4"/>
    <w:rsid w:val="00E50219"/>
    <w:rsid w:val="00E50E49"/>
    <w:rsid w:val="00E52A43"/>
    <w:rsid w:val="00E5350D"/>
    <w:rsid w:val="00E53E03"/>
    <w:rsid w:val="00E559C9"/>
    <w:rsid w:val="00E55EC4"/>
    <w:rsid w:val="00E57315"/>
    <w:rsid w:val="00E6118B"/>
    <w:rsid w:val="00E6254A"/>
    <w:rsid w:val="00E67D8F"/>
    <w:rsid w:val="00E75BC4"/>
    <w:rsid w:val="00E929F3"/>
    <w:rsid w:val="00E92C4A"/>
    <w:rsid w:val="00E93B60"/>
    <w:rsid w:val="00E94153"/>
    <w:rsid w:val="00E960B9"/>
    <w:rsid w:val="00EA302A"/>
    <w:rsid w:val="00EA349A"/>
    <w:rsid w:val="00EA4ADA"/>
    <w:rsid w:val="00EA51AC"/>
    <w:rsid w:val="00EA6607"/>
    <w:rsid w:val="00EB44E7"/>
    <w:rsid w:val="00EB4BF0"/>
    <w:rsid w:val="00EB74DB"/>
    <w:rsid w:val="00EC7134"/>
    <w:rsid w:val="00EC733E"/>
    <w:rsid w:val="00EC7357"/>
    <w:rsid w:val="00ED0247"/>
    <w:rsid w:val="00ED2267"/>
    <w:rsid w:val="00ED445F"/>
    <w:rsid w:val="00ED49AE"/>
    <w:rsid w:val="00EE2130"/>
    <w:rsid w:val="00EE4927"/>
    <w:rsid w:val="00EE4D6C"/>
    <w:rsid w:val="00EE6586"/>
    <w:rsid w:val="00EE6E2F"/>
    <w:rsid w:val="00EF13EB"/>
    <w:rsid w:val="00EF1F50"/>
    <w:rsid w:val="00EF56C8"/>
    <w:rsid w:val="00EF6DF9"/>
    <w:rsid w:val="00EF6FD9"/>
    <w:rsid w:val="00EF7F98"/>
    <w:rsid w:val="00F02137"/>
    <w:rsid w:val="00F03B3A"/>
    <w:rsid w:val="00F04D76"/>
    <w:rsid w:val="00F05FF8"/>
    <w:rsid w:val="00F0740F"/>
    <w:rsid w:val="00F1176F"/>
    <w:rsid w:val="00F154EE"/>
    <w:rsid w:val="00F16AC9"/>
    <w:rsid w:val="00F16D1A"/>
    <w:rsid w:val="00F170D4"/>
    <w:rsid w:val="00F2121F"/>
    <w:rsid w:val="00F21B33"/>
    <w:rsid w:val="00F21D78"/>
    <w:rsid w:val="00F23D40"/>
    <w:rsid w:val="00F247EC"/>
    <w:rsid w:val="00F2621C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387F"/>
    <w:rsid w:val="00F67863"/>
    <w:rsid w:val="00F72C2C"/>
    <w:rsid w:val="00F8166A"/>
    <w:rsid w:val="00F848D1"/>
    <w:rsid w:val="00F8659E"/>
    <w:rsid w:val="00F91447"/>
    <w:rsid w:val="00F92AC5"/>
    <w:rsid w:val="00F96ED8"/>
    <w:rsid w:val="00F97C5D"/>
    <w:rsid w:val="00FA33E8"/>
    <w:rsid w:val="00FA6947"/>
    <w:rsid w:val="00FA7AE3"/>
    <w:rsid w:val="00FB0E44"/>
    <w:rsid w:val="00FB1A70"/>
    <w:rsid w:val="00FB25BF"/>
    <w:rsid w:val="00FB2694"/>
    <w:rsid w:val="00FB4FEC"/>
    <w:rsid w:val="00FB6C37"/>
    <w:rsid w:val="00FB77EB"/>
    <w:rsid w:val="00FC0418"/>
    <w:rsid w:val="00FC3000"/>
    <w:rsid w:val="00FD0441"/>
    <w:rsid w:val="00FD1841"/>
    <w:rsid w:val="00FD285A"/>
    <w:rsid w:val="00FD3655"/>
    <w:rsid w:val="00FD4148"/>
    <w:rsid w:val="00FD56FC"/>
    <w:rsid w:val="00FD6C86"/>
    <w:rsid w:val="00FE10DF"/>
    <w:rsid w:val="00FE3D1C"/>
    <w:rsid w:val="00FE4C64"/>
    <w:rsid w:val="00FE6C39"/>
    <w:rsid w:val="00FE6FA9"/>
    <w:rsid w:val="00FE7EB2"/>
    <w:rsid w:val="00FF2732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chartTrackingRefBased/>
  <w15:docId w15:val="{D45F5383-0262-416C-9AE5-0A896813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413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97307"/>
    <w:pPr>
      <w:pBdr>
        <w:bottom w:val="single" w:sz="12" w:space="1" w:color="auto"/>
      </w:pBdr>
      <w:shd w:val="clear" w:color="auto" w:fill="3058A1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302A"/>
    <w:p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397307"/>
    <w:rPr>
      <w:b/>
      <w:bCs/>
      <w:color w:val="FFFFFF" w:themeColor="background1"/>
      <w:sz w:val="24"/>
      <w:szCs w:val="24"/>
      <w:shd w:val="clear" w:color="auto" w:fill="3058A1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EA302A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8F82-4DD4-47A8-B5F3-6C978F7D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1425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22</cp:revision>
  <cp:lastPrinted>2022-02-21T11:03:00Z</cp:lastPrinted>
  <dcterms:created xsi:type="dcterms:W3CDTF">2023-03-21T15:28:00Z</dcterms:created>
  <dcterms:modified xsi:type="dcterms:W3CDTF">2024-11-25T11:17:00Z</dcterms:modified>
</cp:coreProperties>
</file>